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E4194" w:rsidRPr="00CE4194" w:rsidTr="00CE4194">
        <w:trPr>
          <w:tblCellSpacing w:w="0" w:type="dxa"/>
        </w:trPr>
        <w:tc>
          <w:tcPr>
            <w:tcW w:w="3348" w:type="dxa"/>
            <w:shd w:val="clear" w:color="auto" w:fill="FFFFFF"/>
            <w:tcMar>
              <w:top w:w="0" w:type="dxa"/>
              <w:left w:w="108" w:type="dxa"/>
              <w:bottom w:w="0" w:type="dxa"/>
              <w:right w:w="108" w:type="dxa"/>
            </w:tcMar>
            <w:hideMark/>
          </w:tcPr>
          <w:p w:rsidR="00CE4194" w:rsidRPr="00CE4194" w:rsidRDefault="00CE4194" w:rsidP="00CE4194">
            <w:pPr>
              <w:spacing w:before="120" w:after="120" w:line="234" w:lineRule="atLeast"/>
              <w:jc w:val="center"/>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t>BỘ Y TẾ </w:t>
            </w:r>
            <w:r w:rsidRPr="00CE4194">
              <w:rPr>
                <w:rFonts w:ascii="Times New Roman" w:eastAsia="Times New Roman" w:hAnsi="Times New Roman" w:cs="Times New Roman"/>
                <w:color w:val="000000"/>
                <w:sz w:val="26"/>
                <w:szCs w:val="26"/>
              </w:rPr>
              <w:br/>
            </w:r>
            <w:r w:rsidRPr="00CE4194">
              <w:rPr>
                <w:rFonts w:ascii="Times New Roman" w:eastAsia="Times New Roman" w:hAnsi="Times New Roman" w:cs="Times New Roman"/>
                <w:b/>
                <w:bCs/>
                <w:color w:val="000000"/>
                <w:sz w:val="26"/>
                <w:szCs w:val="26"/>
                <w:lang w:val="vi-VN"/>
              </w:rPr>
              <w:t>CỤC QUẢN LÝ</w:t>
            </w:r>
            <w:r w:rsidRPr="00CE4194">
              <w:rPr>
                <w:rFonts w:ascii="Times New Roman" w:eastAsia="Times New Roman" w:hAnsi="Times New Roman" w:cs="Times New Roman"/>
                <w:b/>
                <w:bCs/>
                <w:color w:val="000000"/>
                <w:sz w:val="26"/>
                <w:szCs w:val="26"/>
                <w:lang w:val="vi-VN"/>
              </w:rPr>
              <w:br/>
              <w:t>KHÁM, CHỮA BỆNH</w:t>
            </w:r>
            <w:r w:rsidRPr="00CE4194">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CE4194" w:rsidRPr="00CE4194" w:rsidRDefault="00CE4194" w:rsidP="00CE4194">
            <w:pPr>
              <w:spacing w:before="120" w:after="120" w:line="234" w:lineRule="atLeast"/>
              <w:jc w:val="center"/>
              <w:rPr>
                <w:rFonts w:ascii="Times New Roman" w:eastAsia="Times New Roman" w:hAnsi="Times New Roman" w:cs="Times New Roman"/>
                <w:color w:val="000000"/>
                <w:sz w:val="26"/>
                <w:szCs w:val="26"/>
              </w:rPr>
            </w:pPr>
            <w:r w:rsidRPr="00CE4194">
              <w:rPr>
                <w:rFonts w:ascii="Times New Roman" w:eastAsia="Times New Roman" w:hAnsi="Times New Roman" w:cs="Times New Roman"/>
                <w:b/>
                <w:bCs/>
                <w:color w:val="000000"/>
                <w:sz w:val="26"/>
                <w:szCs w:val="26"/>
                <w:lang w:val="vi-VN"/>
              </w:rPr>
              <w:t>CỘNG HÒA XÃ HỘI CHỦ NGHĨA VIỆT NAM</w:t>
            </w:r>
            <w:r w:rsidRPr="00CE4194">
              <w:rPr>
                <w:rFonts w:ascii="Times New Roman" w:eastAsia="Times New Roman" w:hAnsi="Times New Roman" w:cs="Times New Roman"/>
                <w:b/>
                <w:bCs/>
                <w:color w:val="000000"/>
                <w:sz w:val="26"/>
                <w:szCs w:val="26"/>
                <w:lang w:val="vi-VN"/>
              </w:rPr>
              <w:br/>
              <w:t>Độc lập - Tự do - Hạnh phúc </w:t>
            </w:r>
            <w:r w:rsidRPr="00CE4194">
              <w:rPr>
                <w:rFonts w:ascii="Times New Roman" w:eastAsia="Times New Roman" w:hAnsi="Times New Roman" w:cs="Times New Roman"/>
                <w:b/>
                <w:bCs/>
                <w:color w:val="000000"/>
                <w:sz w:val="26"/>
                <w:szCs w:val="26"/>
                <w:lang w:val="vi-VN"/>
              </w:rPr>
              <w:br/>
              <w:t>---------------</w:t>
            </w:r>
          </w:p>
        </w:tc>
      </w:tr>
      <w:tr w:rsidR="00CE4194" w:rsidRPr="00CE4194" w:rsidTr="00CE4194">
        <w:trPr>
          <w:tblCellSpacing w:w="0" w:type="dxa"/>
        </w:trPr>
        <w:tc>
          <w:tcPr>
            <w:tcW w:w="3348" w:type="dxa"/>
            <w:shd w:val="clear" w:color="auto" w:fill="FFFFFF"/>
            <w:tcMar>
              <w:top w:w="0" w:type="dxa"/>
              <w:left w:w="108" w:type="dxa"/>
              <w:bottom w:w="0" w:type="dxa"/>
              <w:right w:w="108" w:type="dxa"/>
            </w:tcMar>
            <w:hideMark/>
          </w:tcPr>
          <w:p w:rsidR="00CE4194" w:rsidRPr="00CE4194" w:rsidRDefault="00CE4194" w:rsidP="00CE4194">
            <w:pPr>
              <w:spacing w:before="120" w:after="12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t>Số: </w:t>
            </w:r>
            <w:r w:rsidRPr="00CE4194">
              <w:rPr>
                <w:rFonts w:ascii="Times New Roman" w:eastAsia="Times New Roman" w:hAnsi="Times New Roman" w:cs="Times New Roman"/>
                <w:color w:val="000000"/>
                <w:sz w:val="26"/>
                <w:szCs w:val="26"/>
              </w:rPr>
              <w:t>291</w:t>
            </w:r>
            <w:r w:rsidRPr="00CE4194">
              <w:rPr>
                <w:rFonts w:ascii="Times New Roman" w:eastAsia="Times New Roman" w:hAnsi="Times New Roman" w:cs="Times New Roman"/>
                <w:color w:val="000000"/>
                <w:sz w:val="26"/>
                <w:szCs w:val="26"/>
                <w:lang w:val="vi-VN"/>
              </w:rPr>
              <w:t>/KCB-PHCN&amp;GĐ</w:t>
            </w:r>
            <w:r w:rsidRPr="00CE4194">
              <w:rPr>
                <w:rFonts w:ascii="Times New Roman" w:eastAsia="Times New Roman" w:hAnsi="Times New Roman" w:cs="Times New Roman"/>
                <w:color w:val="000000"/>
                <w:sz w:val="26"/>
                <w:szCs w:val="26"/>
                <w:lang w:val="vi-VN"/>
              </w:rPr>
              <w:br/>
            </w:r>
            <w:r w:rsidRPr="00CE4194">
              <w:rPr>
                <w:rFonts w:ascii="Times New Roman" w:eastAsia="Times New Roman" w:hAnsi="Times New Roman" w:cs="Times New Roman"/>
                <w:i/>
                <w:iCs/>
                <w:color w:val="000000"/>
                <w:sz w:val="26"/>
                <w:szCs w:val="26"/>
                <w:lang w:val="vi-VN"/>
              </w:rPr>
              <w:t>V/v liên quan đến hồ sơ công bố cơ sở đủ điều kiện KSK</w:t>
            </w:r>
          </w:p>
        </w:tc>
        <w:tc>
          <w:tcPr>
            <w:tcW w:w="5508" w:type="dxa"/>
            <w:shd w:val="clear" w:color="auto" w:fill="FFFFFF"/>
            <w:tcMar>
              <w:top w:w="0" w:type="dxa"/>
              <w:left w:w="108" w:type="dxa"/>
              <w:bottom w:w="0" w:type="dxa"/>
              <w:right w:w="108" w:type="dxa"/>
            </w:tcMar>
            <w:hideMark/>
          </w:tcPr>
          <w:p w:rsidR="00CE4194" w:rsidRPr="00CE4194" w:rsidRDefault="00CE4194" w:rsidP="00CE4194">
            <w:pPr>
              <w:spacing w:before="120" w:after="120" w:line="234" w:lineRule="atLeast"/>
              <w:jc w:val="right"/>
              <w:rPr>
                <w:rFonts w:ascii="Times New Roman" w:eastAsia="Times New Roman" w:hAnsi="Times New Roman" w:cs="Times New Roman"/>
                <w:color w:val="000000"/>
                <w:sz w:val="26"/>
                <w:szCs w:val="26"/>
              </w:rPr>
            </w:pPr>
            <w:r w:rsidRPr="00CE4194">
              <w:rPr>
                <w:rFonts w:ascii="Times New Roman" w:eastAsia="Times New Roman" w:hAnsi="Times New Roman" w:cs="Times New Roman"/>
                <w:i/>
                <w:iCs/>
                <w:color w:val="000000"/>
                <w:sz w:val="26"/>
                <w:szCs w:val="26"/>
              </w:rPr>
              <w:t>Hà Nội, ngày 27 tháng 3 năm 2019</w:t>
            </w:r>
          </w:p>
        </w:tc>
      </w:tr>
    </w:tbl>
    <w:p w:rsidR="00CE4194" w:rsidRPr="00CE4194" w:rsidRDefault="00CE4194" w:rsidP="00CE4194">
      <w:pPr>
        <w:shd w:val="clear" w:color="auto" w:fill="FFFFFF"/>
        <w:spacing w:before="120" w:after="12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CE4194" w:rsidRPr="00CE4194" w:rsidTr="00CE4194">
        <w:trPr>
          <w:tblCellSpacing w:w="0" w:type="dxa"/>
        </w:trPr>
        <w:tc>
          <w:tcPr>
            <w:tcW w:w="2988" w:type="dxa"/>
            <w:shd w:val="clear" w:color="auto" w:fill="FFFFFF"/>
            <w:tcMar>
              <w:top w:w="0" w:type="dxa"/>
              <w:left w:w="108" w:type="dxa"/>
              <w:bottom w:w="0" w:type="dxa"/>
              <w:right w:w="108" w:type="dxa"/>
            </w:tcMar>
            <w:hideMark/>
          </w:tcPr>
          <w:p w:rsidR="00CE4194" w:rsidRPr="00CE4194" w:rsidRDefault="00CE4194" w:rsidP="00CE4194">
            <w:pPr>
              <w:spacing w:before="120" w:after="120" w:line="234" w:lineRule="atLeast"/>
              <w:jc w:val="right"/>
              <w:rPr>
                <w:rFonts w:ascii="Times New Roman" w:eastAsia="Times New Roman" w:hAnsi="Times New Roman" w:cs="Times New Roman"/>
                <w:color w:val="000000"/>
                <w:sz w:val="26"/>
                <w:szCs w:val="26"/>
              </w:rPr>
            </w:pPr>
            <w:r w:rsidRPr="00CE4194">
              <w:rPr>
                <w:rFonts w:ascii="Times New Roman" w:eastAsia="Times New Roman" w:hAnsi="Times New Roman" w:cs="Times New Roman"/>
                <w:b/>
                <w:bCs/>
                <w:color w:val="000000"/>
                <w:sz w:val="26"/>
                <w:szCs w:val="26"/>
                <w:lang w:val="vi-VN"/>
              </w:rPr>
              <w:t>Kính gửi:</w:t>
            </w:r>
          </w:p>
        </w:tc>
        <w:tc>
          <w:tcPr>
            <w:tcW w:w="5868" w:type="dxa"/>
            <w:shd w:val="clear" w:color="auto" w:fill="FFFFFF"/>
            <w:tcMar>
              <w:top w:w="0" w:type="dxa"/>
              <w:left w:w="108" w:type="dxa"/>
              <w:bottom w:w="0" w:type="dxa"/>
              <w:right w:w="108" w:type="dxa"/>
            </w:tcMar>
            <w:hideMark/>
          </w:tcPr>
          <w:p w:rsidR="00CE4194" w:rsidRPr="00CE4194" w:rsidRDefault="00CE4194" w:rsidP="00CE4194">
            <w:pPr>
              <w:spacing w:before="120" w:after="12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rPr>
              <w:t>- </w:t>
            </w:r>
            <w:r w:rsidRPr="00CE4194">
              <w:rPr>
                <w:rFonts w:ascii="Times New Roman" w:eastAsia="Times New Roman" w:hAnsi="Times New Roman" w:cs="Times New Roman"/>
                <w:color w:val="000000"/>
                <w:sz w:val="26"/>
                <w:szCs w:val="26"/>
                <w:lang w:val="vi-VN"/>
              </w:rPr>
              <w:t>Sở Y tế tỉnh, thành phố trực thuộc Trung ương; </w:t>
            </w:r>
            <w:r w:rsidRPr="00CE4194">
              <w:rPr>
                <w:rFonts w:ascii="Times New Roman" w:eastAsia="Times New Roman" w:hAnsi="Times New Roman" w:cs="Times New Roman"/>
                <w:color w:val="000000"/>
                <w:sz w:val="26"/>
                <w:szCs w:val="26"/>
              </w:rPr>
              <w:br/>
              <w:t>- </w:t>
            </w:r>
            <w:r w:rsidRPr="00CE4194">
              <w:rPr>
                <w:rFonts w:ascii="Times New Roman" w:eastAsia="Times New Roman" w:hAnsi="Times New Roman" w:cs="Times New Roman"/>
                <w:color w:val="000000"/>
                <w:sz w:val="26"/>
                <w:szCs w:val="26"/>
                <w:lang w:val="vi-VN"/>
              </w:rPr>
              <w:t>Bệnh viện, Viện, Trường Đại học trực thuộc Bộ; </w:t>
            </w:r>
            <w:r w:rsidRPr="00CE4194">
              <w:rPr>
                <w:rFonts w:ascii="Times New Roman" w:eastAsia="Times New Roman" w:hAnsi="Times New Roman" w:cs="Times New Roman"/>
                <w:color w:val="000000"/>
                <w:sz w:val="26"/>
                <w:szCs w:val="26"/>
              </w:rPr>
              <w:br/>
              <w:t>- </w:t>
            </w:r>
            <w:r w:rsidRPr="00CE4194">
              <w:rPr>
                <w:rFonts w:ascii="Times New Roman" w:eastAsia="Times New Roman" w:hAnsi="Times New Roman" w:cs="Times New Roman"/>
                <w:color w:val="000000"/>
                <w:sz w:val="26"/>
                <w:szCs w:val="26"/>
                <w:lang w:val="vi-VN"/>
              </w:rPr>
              <w:t>Y tế Bộ, ngành.</w:t>
            </w:r>
          </w:p>
        </w:tc>
      </w:tr>
    </w:tbl>
    <w:p w:rsidR="00CE4194" w:rsidRPr="00CE4194" w:rsidRDefault="00CE4194" w:rsidP="00CE4194">
      <w:pPr>
        <w:shd w:val="clear" w:color="auto" w:fill="FFFFFF"/>
        <w:spacing w:before="120" w:after="12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t>Thời gian qua, Cục Quản lý Khám, chữa bệnh, Bộ Y tế nhận được công văn của nhiều Đơn vị báo cáo về việc tiếp nhận hồ sơ công bố cơ sở đủ điều kiện thực hiện việc khám sức khỏe (trong đó có công văn của Sở Y tế tỉnh Đồng Nai). Sau khi xem xét, Cục Quản lý Khám, chữa bệnh có ý kiến như sau:</w:t>
      </w:r>
    </w:p>
    <w:p w:rsidR="00CE4194" w:rsidRPr="00CE4194" w:rsidRDefault="00CE4194" w:rsidP="00CE4194">
      <w:pPr>
        <w:shd w:val="clear" w:color="auto" w:fill="FFFFFF"/>
        <w:spacing w:after="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t>1. Từ ngày 01 tháng 7 năm 2013, Thông tư số </w:t>
      </w:r>
      <w:r>
        <w:rPr>
          <w:rFonts w:ascii="Times New Roman" w:eastAsia="Times New Roman" w:hAnsi="Times New Roman" w:cs="Times New Roman"/>
          <w:color w:val="000000"/>
          <w:sz w:val="26"/>
          <w:szCs w:val="26"/>
          <w:lang w:val="vi-VN"/>
        </w:rPr>
        <w:t xml:space="preserve">14/2013/TT-BYT </w:t>
      </w:r>
      <w:r w:rsidRPr="00CE4194">
        <w:rPr>
          <w:rFonts w:ascii="Times New Roman" w:eastAsia="Times New Roman" w:hAnsi="Times New Roman" w:cs="Times New Roman"/>
          <w:color w:val="000000"/>
          <w:sz w:val="26"/>
          <w:szCs w:val="26"/>
          <w:lang w:val="vi-VN"/>
        </w:rPr>
        <w:t>ngày 06 tháng 5 năm 2013 của Bộ Y tế về </w:t>
      </w:r>
      <w:r w:rsidRPr="00CE4194">
        <w:rPr>
          <w:rFonts w:ascii="Times New Roman" w:eastAsia="Times New Roman" w:hAnsi="Times New Roman" w:cs="Times New Roman"/>
          <w:i/>
          <w:iCs/>
          <w:color w:val="000000"/>
          <w:sz w:val="26"/>
          <w:szCs w:val="26"/>
          <w:lang w:val="vi-VN"/>
        </w:rPr>
        <w:t>“Hướng dẫn kh</w:t>
      </w:r>
      <w:r w:rsidRPr="00CE4194">
        <w:rPr>
          <w:rFonts w:ascii="Times New Roman" w:eastAsia="Times New Roman" w:hAnsi="Times New Roman" w:cs="Times New Roman"/>
          <w:i/>
          <w:iCs/>
          <w:color w:val="000000"/>
          <w:sz w:val="26"/>
          <w:szCs w:val="26"/>
        </w:rPr>
        <w:t>á</w:t>
      </w:r>
      <w:r w:rsidRPr="00CE4194">
        <w:rPr>
          <w:rFonts w:ascii="Times New Roman" w:eastAsia="Times New Roman" w:hAnsi="Times New Roman" w:cs="Times New Roman"/>
          <w:i/>
          <w:iCs/>
          <w:color w:val="000000"/>
          <w:sz w:val="26"/>
          <w:szCs w:val="26"/>
          <w:lang w:val="vi-VN"/>
        </w:rPr>
        <w:t>m sức khỏe”</w:t>
      </w:r>
      <w:r w:rsidRPr="00CE4194">
        <w:rPr>
          <w:rFonts w:ascii="Times New Roman" w:eastAsia="Times New Roman" w:hAnsi="Times New Roman" w:cs="Times New Roman"/>
          <w:color w:val="000000"/>
          <w:sz w:val="26"/>
          <w:szCs w:val="26"/>
          <w:lang w:val="vi-VN"/>
        </w:rPr>
        <w:t> có hiệu lực thi hành thì các cơ sở khám bệnh, chữa bệnh trên toàn quốc khi công bố cơ sở đủ điều kiện thực hiện khám sức khỏe thì phải thực hiện theo quy định tại Thông tư này.</w:t>
      </w:r>
    </w:p>
    <w:p w:rsidR="00CE4194" w:rsidRPr="00CE4194" w:rsidRDefault="00CE4194" w:rsidP="00CE4194">
      <w:pPr>
        <w:shd w:val="clear" w:color="auto" w:fill="FFFFFF"/>
        <w:spacing w:after="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t>2. Ngày 01 tháng 7 năm 2016, Chính phủ ban hành Nghị định số </w:t>
      </w:r>
      <w:r>
        <w:rPr>
          <w:rFonts w:ascii="Times New Roman" w:eastAsia="Times New Roman" w:hAnsi="Times New Roman" w:cs="Times New Roman"/>
          <w:color w:val="000000"/>
          <w:sz w:val="26"/>
          <w:szCs w:val="26"/>
          <w:lang w:val="vi-VN"/>
        </w:rPr>
        <w:t xml:space="preserve">109/2016/NĐ-CP </w:t>
      </w:r>
      <w:r w:rsidRPr="00CE4194">
        <w:rPr>
          <w:rFonts w:ascii="Times New Roman" w:eastAsia="Times New Roman" w:hAnsi="Times New Roman" w:cs="Times New Roman"/>
          <w:color w:val="000000"/>
          <w:sz w:val="26"/>
          <w:szCs w:val="26"/>
          <w:lang w:val="vi-VN"/>
        </w:rPr>
        <w:t>về </w:t>
      </w:r>
      <w:r w:rsidRPr="00CE4194">
        <w:rPr>
          <w:rFonts w:ascii="Times New Roman" w:eastAsia="Times New Roman" w:hAnsi="Times New Roman" w:cs="Times New Roman"/>
          <w:i/>
          <w:iCs/>
          <w:color w:val="000000"/>
          <w:sz w:val="26"/>
          <w:szCs w:val="26"/>
          <w:lang w:val="vi-VN"/>
        </w:rPr>
        <w:t>“Quy định c</w:t>
      </w:r>
      <w:r w:rsidRPr="00CE4194">
        <w:rPr>
          <w:rFonts w:ascii="Times New Roman" w:eastAsia="Times New Roman" w:hAnsi="Times New Roman" w:cs="Times New Roman"/>
          <w:i/>
          <w:iCs/>
          <w:color w:val="000000"/>
          <w:sz w:val="26"/>
          <w:szCs w:val="26"/>
        </w:rPr>
        <w:t>ấ</w:t>
      </w:r>
      <w:r w:rsidRPr="00CE4194">
        <w:rPr>
          <w:rFonts w:ascii="Times New Roman" w:eastAsia="Times New Roman" w:hAnsi="Times New Roman" w:cs="Times New Roman"/>
          <w:i/>
          <w:iCs/>
          <w:color w:val="000000"/>
          <w:sz w:val="26"/>
          <w:szCs w:val="26"/>
          <w:lang w:val="vi-VN"/>
        </w:rPr>
        <w:t>p chứng chỉ hành nghề đối với người hành nghề và cấp giấy phép hoạt động đối với cơ sở kh</w:t>
      </w:r>
      <w:r w:rsidRPr="00CE4194">
        <w:rPr>
          <w:rFonts w:ascii="Times New Roman" w:eastAsia="Times New Roman" w:hAnsi="Times New Roman" w:cs="Times New Roman"/>
          <w:i/>
          <w:iCs/>
          <w:color w:val="000000"/>
          <w:sz w:val="26"/>
          <w:szCs w:val="26"/>
        </w:rPr>
        <w:t>á</w:t>
      </w:r>
      <w:r w:rsidRPr="00CE4194">
        <w:rPr>
          <w:rFonts w:ascii="Times New Roman" w:eastAsia="Times New Roman" w:hAnsi="Times New Roman" w:cs="Times New Roman"/>
          <w:i/>
          <w:iCs/>
          <w:color w:val="000000"/>
          <w:sz w:val="26"/>
          <w:szCs w:val="26"/>
          <w:lang w:val="vi-VN"/>
        </w:rPr>
        <w:t>m bệnh, chữa bệnh</w:t>
      </w:r>
      <w:r w:rsidRPr="00CE4194">
        <w:rPr>
          <w:rFonts w:ascii="Times New Roman" w:eastAsia="Times New Roman" w:hAnsi="Times New Roman" w:cs="Times New Roman"/>
          <w:i/>
          <w:iCs/>
          <w:color w:val="000000"/>
          <w:sz w:val="26"/>
          <w:szCs w:val="26"/>
        </w:rPr>
        <w:t>”.</w:t>
      </w:r>
      <w:r w:rsidRPr="00CE4194">
        <w:rPr>
          <w:rFonts w:ascii="Times New Roman" w:eastAsia="Times New Roman" w:hAnsi="Times New Roman" w:cs="Times New Roman"/>
          <w:color w:val="000000"/>
          <w:sz w:val="26"/>
          <w:szCs w:val="26"/>
          <w:lang w:val="vi-VN"/>
        </w:rPr>
        <w:t> Tại </w:t>
      </w:r>
      <w:bookmarkStart w:id="0" w:name="dc_1"/>
      <w:r w:rsidRPr="00CE4194">
        <w:rPr>
          <w:rFonts w:ascii="Times New Roman" w:eastAsia="Times New Roman" w:hAnsi="Times New Roman" w:cs="Times New Roman"/>
          <w:color w:val="000000"/>
          <w:sz w:val="26"/>
          <w:szCs w:val="26"/>
          <w:lang w:val="vi-VN"/>
        </w:rPr>
        <w:t>Điều 23 của Nghị định số 109/2016/NĐ-CP</w:t>
      </w:r>
      <w:bookmarkEnd w:id="0"/>
      <w:r w:rsidRPr="00CE4194">
        <w:rPr>
          <w:rFonts w:ascii="Times New Roman" w:eastAsia="Times New Roman" w:hAnsi="Times New Roman" w:cs="Times New Roman"/>
          <w:color w:val="000000"/>
          <w:sz w:val="26"/>
          <w:szCs w:val="26"/>
          <w:lang w:val="vi-VN"/>
        </w:rPr>
        <w:t> đã quy định điều kiện về nhân sự, về chuyên môn, về trang thiết bị ...để các Bệnh viện phải đáp ứng trước khi công bố thực hiện khám sức khỏe và cấp Giấy chứng nhận sức khỏe. Tại </w:t>
      </w:r>
      <w:bookmarkStart w:id="1" w:name="dc_2"/>
      <w:r w:rsidRPr="00CE4194">
        <w:rPr>
          <w:rFonts w:ascii="Times New Roman" w:eastAsia="Times New Roman" w:hAnsi="Times New Roman" w:cs="Times New Roman"/>
          <w:color w:val="000000"/>
          <w:sz w:val="26"/>
          <w:szCs w:val="26"/>
          <w:lang w:val="vi-VN"/>
        </w:rPr>
        <w:t>Điều 23</w:t>
      </w:r>
      <w:bookmarkEnd w:id="1"/>
      <w:r w:rsidRPr="00CE4194">
        <w:rPr>
          <w:rFonts w:ascii="Times New Roman" w:eastAsia="Times New Roman" w:hAnsi="Times New Roman" w:cs="Times New Roman"/>
          <w:color w:val="000000"/>
          <w:sz w:val="26"/>
          <w:szCs w:val="26"/>
          <w:lang w:val="vi-VN"/>
        </w:rPr>
        <w:t> cũng quy định cơ sở khám bệnh, chữa bệnh thực hiện khám sức khỏe phải làm hồ sơ, thủ tục công bố cơ sở đủ điều kiện thực hiện khám sức khỏe theo quy định tại khoản 8 Điều 43 và khoản 4 và 5 Điều 44 Nghị định này sau khi đã được cấp giấy phép hoạt động.</w:t>
      </w:r>
    </w:p>
    <w:p w:rsidR="00CE4194" w:rsidRPr="00CE4194" w:rsidRDefault="00CE4194" w:rsidP="00CE4194">
      <w:pPr>
        <w:shd w:val="clear" w:color="auto" w:fill="FFFFFF"/>
        <w:spacing w:after="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t>Kể từ ngày 01 tháng 7 năm 2016, khi Nghị định số </w:t>
      </w:r>
      <w:r>
        <w:rPr>
          <w:rFonts w:ascii="Times New Roman" w:eastAsia="Times New Roman" w:hAnsi="Times New Roman" w:cs="Times New Roman"/>
          <w:color w:val="000000"/>
          <w:sz w:val="26"/>
          <w:szCs w:val="26"/>
          <w:lang w:val="vi-VN"/>
        </w:rPr>
        <w:t xml:space="preserve">109/2016/NĐ-CP </w:t>
      </w:r>
      <w:r w:rsidRPr="00CE4194">
        <w:rPr>
          <w:rFonts w:ascii="Times New Roman" w:eastAsia="Times New Roman" w:hAnsi="Times New Roman" w:cs="Times New Roman"/>
          <w:color w:val="000000"/>
          <w:sz w:val="26"/>
          <w:szCs w:val="26"/>
          <w:lang w:val="vi-VN"/>
        </w:rPr>
        <w:t>có hiệu lực thì các quy định quy định trước đây trái với quy định tại Nghị định này đều bị bãi bỏ.</w:t>
      </w:r>
    </w:p>
    <w:p w:rsidR="00CE4194" w:rsidRPr="00CE4194" w:rsidRDefault="00CE4194" w:rsidP="00CE4194">
      <w:pPr>
        <w:shd w:val="clear" w:color="auto" w:fill="FFFFFF"/>
        <w:spacing w:after="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lastRenderedPageBreak/>
        <w:t>3. Ngày 09 tháng 11 năm 2017, Bộ trưởng Bộ Y tế đã ban hành Thông tư số </w:t>
      </w:r>
      <w:r>
        <w:rPr>
          <w:rFonts w:ascii="Times New Roman" w:eastAsia="Times New Roman" w:hAnsi="Times New Roman" w:cs="Times New Roman"/>
          <w:color w:val="000000"/>
          <w:sz w:val="26"/>
          <w:szCs w:val="26"/>
          <w:lang w:val="vi-VN"/>
        </w:rPr>
        <w:t xml:space="preserve">41/2017/TT-BYT </w:t>
      </w:r>
      <w:r w:rsidRPr="00CE4194">
        <w:rPr>
          <w:rFonts w:ascii="Times New Roman" w:eastAsia="Times New Roman" w:hAnsi="Times New Roman" w:cs="Times New Roman"/>
          <w:color w:val="000000"/>
          <w:sz w:val="26"/>
          <w:szCs w:val="26"/>
          <w:lang w:val="vi-VN"/>
        </w:rPr>
        <w:t>về việc</w:t>
      </w:r>
      <w:r w:rsidRPr="00CE4194">
        <w:rPr>
          <w:rFonts w:ascii="Times New Roman" w:eastAsia="Times New Roman" w:hAnsi="Times New Roman" w:cs="Times New Roman"/>
          <w:i/>
          <w:iCs/>
          <w:color w:val="000000"/>
          <w:sz w:val="26"/>
          <w:szCs w:val="26"/>
          <w:lang w:val="vi-VN"/>
        </w:rPr>
        <w:t> “Bãi bỏ một số văn bản quy phạm pháp luật do Bộ trưởng Bộ Y tế ban hành, liên tịch ban hành</w:t>
      </w:r>
      <w:r w:rsidRPr="00CE4194">
        <w:rPr>
          <w:rFonts w:ascii="Times New Roman" w:eastAsia="Times New Roman" w:hAnsi="Times New Roman" w:cs="Times New Roman"/>
          <w:i/>
          <w:iCs/>
          <w:color w:val="000000"/>
          <w:sz w:val="26"/>
          <w:szCs w:val="26"/>
        </w:rPr>
        <w:t>”.</w:t>
      </w:r>
      <w:r w:rsidRPr="00CE4194">
        <w:rPr>
          <w:rFonts w:ascii="Times New Roman" w:eastAsia="Times New Roman" w:hAnsi="Times New Roman" w:cs="Times New Roman"/>
          <w:color w:val="000000"/>
          <w:sz w:val="26"/>
          <w:szCs w:val="26"/>
          <w:lang w:val="vi-VN"/>
        </w:rPr>
        <w:t> Thông tư số 4</w:t>
      </w:r>
      <w:r w:rsidRPr="00CE4194">
        <w:rPr>
          <w:rFonts w:ascii="Times New Roman" w:eastAsia="Times New Roman" w:hAnsi="Times New Roman" w:cs="Times New Roman"/>
          <w:color w:val="000000"/>
          <w:sz w:val="26"/>
          <w:szCs w:val="26"/>
        </w:rPr>
        <w:t>1</w:t>
      </w:r>
      <w:r w:rsidRPr="00CE4194">
        <w:rPr>
          <w:rFonts w:ascii="Times New Roman" w:eastAsia="Times New Roman" w:hAnsi="Times New Roman" w:cs="Times New Roman"/>
          <w:color w:val="000000"/>
          <w:sz w:val="26"/>
          <w:szCs w:val="26"/>
          <w:lang w:val="vi-VN"/>
        </w:rPr>
        <w:t>/2017/TT-BYT đã bãi bỏ các </w:t>
      </w:r>
      <w:bookmarkStart w:id="2" w:name="dc_3"/>
      <w:r w:rsidRPr="00CE4194">
        <w:rPr>
          <w:rFonts w:ascii="Times New Roman" w:eastAsia="Times New Roman" w:hAnsi="Times New Roman" w:cs="Times New Roman"/>
          <w:color w:val="000000"/>
          <w:sz w:val="26"/>
          <w:szCs w:val="26"/>
          <w:lang w:val="vi-VN"/>
        </w:rPr>
        <w:t>Điều 9, 12, 13, khoản 2 và khoản 3 của Điều 11 của Thông tư số 14/2013/TT-BYT</w:t>
      </w:r>
      <w:bookmarkEnd w:id="2"/>
      <w:r w:rsidRPr="00CE4194">
        <w:rPr>
          <w:rFonts w:ascii="Times New Roman" w:eastAsia="Times New Roman" w:hAnsi="Times New Roman" w:cs="Times New Roman"/>
          <w:color w:val="000000"/>
          <w:sz w:val="26"/>
          <w:szCs w:val="26"/>
          <w:lang w:val="vi-VN"/>
        </w:rPr>
        <w:t>.</w:t>
      </w:r>
    </w:p>
    <w:p w:rsidR="00CE4194" w:rsidRPr="00CE4194" w:rsidRDefault="00CE4194" w:rsidP="00CE4194">
      <w:pPr>
        <w:shd w:val="clear" w:color="auto" w:fill="FFFFFF"/>
        <w:spacing w:after="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t>4. Ngày 12 tháng 11 năm 2018, Chính phủ ban hành Nghị định số </w:t>
      </w:r>
      <w:r>
        <w:rPr>
          <w:rFonts w:ascii="Times New Roman" w:eastAsia="Times New Roman" w:hAnsi="Times New Roman" w:cs="Times New Roman"/>
          <w:color w:val="000000"/>
          <w:sz w:val="26"/>
          <w:szCs w:val="26"/>
          <w:lang w:val="vi-VN"/>
        </w:rPr>
        <w:t xml:space="preserve">155/2018/NĐ-CP </w:t>
      </w:r>
      <w:r w:rsidRPr="00CE4194">
        <w:rPr>
          <w:rFonts w:ascii="Times New Roman" w:eastAsia="Times New Roman" w:hAnsi="Times New Roman" w:cs="Times New Roman"/>
          <w:color w:val="000000"/>
          <w:sz w:val="26"/>
          <w:szCs w:val="26"/>
          <w:lang w:val="vi-VN"/>
        </w:rPr>
        <w:t>về việc </w:t>
      </w:r>
      <w:r w:rsidRPr="00CE4194">
        <w:rPr>
          <w:rFonts w:ascii="Times New Roman" w:eastAsia="Times New Roman" w:hAnsi="Times New Roman" w:cs="Times New Roman"/>
          <w:i/>
          <w:iCs/>
          <w:color w:val="000000"/>
          <w:sz w:val="26"/>
          <w:szCs w:val="26"/>
          <w:lang w:val="vi-VN"/>
        </w:rPr>
        <w:t>“Sửa đổi, bổ sung một số quy định liên quan đến điều kiện đầu tư kinh doanh thuộc phạm vi quản lý của Bộ Y tế”.</w:t>
      </w:r>
    </w:p>
    <w:p w:rsidR="00CE4194" w:rsidRPr="00CE4194" w:rsidRDefault="00CE4194" w:rsidP="00CE4194">
      <w:pPr>
        <w:shd w:val="clear" w:color="auto" w:fill="FFFFFF"/>
        <w:spacing w:after="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t>Liên quan đến quy định về cơ sở khám sức khỏe, tại </w:t>
      </w:r>
      <w:bookmarkStart w:id="3" w:name="dc_4"/>
      <w:r w:rsidRPr="00CE4194">
        <w:rPr>
          <w:rFonts w:ascii="Times New Roman" w:eastAsia="Times New Roman" w:hAnsi="Times New Roman" w:cs="Times New Roman"/>
          <w:color w:val="000000"/>
          <w:sz w:val="26"/>
          <w:szCs w:val="26"/>
          <w:lang w:val="vi-VN"/>
        </w:rPr>
        <w:t>Điều 11 của Nghị định số 155/2018/NĐ-CP</w:t>
      </w:r>
      <w:bookmarkEnd w:id="3"/>
      <w:r w:rsidRPr="00CE4194">
        <w:rPr>
          <w:rFonts w:ascii="Times New Roman" w:eastAsia="Times New Roman" w:hAnsi="Times New Roman" w:cs="Times New Roman"/>
          <w:color w:val="000000"/>
          <w:sz w:val="26"/>
          <w:szCs w:val="26"/>
          <w:lang w:val="vi-VN"/>
        </w:rPr>
        <w:t>ngày 12 tháng 11 năm 2018 của Chính phủ về </w:t>
      </w:r>
      <w:r w:rsidRPr="00CE4194">
        <w:rPr>
          <w:rFonts w:ascii="Times New Roman" w:eastAsia="Times New Roman" w:hAnsi="Times New Roman" w:cs="Times New Roman"/>
          <w:i/>
          <w:iCs/>
          <w:color w:val="000000"/>
          <w:sz w:val="26"/>
          <w:szCs w:val="26"/>
          <w:lang w:val="vi-VN"/>
        </w:rPr>
        <w:t>“Sửa đổi, bổ sung một số quy định liên quan đến điều kiện đ</w:t>
      </w:r>
      <w:r w:rsidRPr="00CE4194">
        <w:rPr>
          <w:rFonts w:ascii="Times New Roman" w:eastAsia="Times New Roman" w:hAnsi="Times New Roman" w:cs="Times New Roman"/>
          <w:i/>
          <w:iCs/>
          <w:color w:val="000000"/>
          <w:sz w:val="26"/>
          <w:szCs w:val="26"/>
        </w:rPr>
        <w:t>ầ</w:t>
      </w:r>
      <w:r w:rsidRPr="00CE4194">
        <w:rPr>
          <w:rFonts w:ascii="Times New Roman" w:eastAsia="Times New Roman" w:hAnsi="Times New Roman" w:cs="Times New Roman"/>
          <w:i/>
          <w:iCs/>
          <w:color w:val="000000"/>
          <w:sz w:val="26"/>
          <w:szCs w:val="26"/>
          <w:lang w:val="vi-VN"/>
        </w:rPr>
        <w:t>u tư kinh doanh thuộc phạm vi quản lý nhà nước của Bộ Y tế”</w:t>
      </w:r>
      <w:r w:rsidRPr="00CE4194">
        <w:rPr>
          <w:rFonts w:ascii="Times New Roman" w:eastAsia="Times New Roman" w:hAnsi="Times New Roman" w:cs="Times New Roman"/>
          <w:color w:val="000000"/>
          <w:sz w:val="26"/>
          <w:szCs w:val="26"/>
          <w:lang w:val="vi-VN"/>
        </w:rPr>
        <w:t> đã quy định: “Cơ sở khám sức khỏe đáp ứng các điều kiện sau: (a) Là cơ sở khám, chữa bệnh đã được cấp giấy phép hoạt động theo quy định của pháp luật; (b) Phải có đủ các bộ phận khám lâm sàng, cận lâm sàng, nhân lực và thiết bị y tế cần thiết để khám, phát hiện được tình trạng sức khỏe theo tiêu chuẩn sức khỏe và mẫu phiếu khám sức khỏe được ban hành kèm theo các văn bản hướng dẫn khám sức khỏe theo quy định của pháp luật”.</w:t>
      </w:r>
    </w:p>
    <w:p w:rsidR="00CE4194" w:rsidRPr="00CE4194" w:rsidRDefault="00CE4194" w:rsidP="00CE4194">
      <w:pPr>
        <w:shd w:val="clear" w:color="auto" w:fill="FFFFFF"/>
        <w:spacing w:after="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t>Như vậy, theo các văn bản quy phạm pháp luật nêu trên, khi xem xét văn bản công bố đủ điều kiện thực hiện khám sức khỏe, đề nghị Sở Y tế các tỉnh, thành phố trực thuộc Trung ương, Bệnh viện, Viện, Trường Đại học trực thuộc Bộ và Y tế các Bộ, ngành thực hiện theo quy định tại Thôn</w:t>
      </w:r>
      <w:r w:rsidRPr="00CE4194">
        <w:rPr>
          <w:rFonts w:ascii="Times New Roman" w:eastAsia="Times New Roman" w:hAnsi="Times New Roman" w:cs="Times New Roman"/>
          <w:color w:val="000000"/>
          <w:sz w:val="26"/>
          <w:szCs w:val="26"/>
        </w:rPr>
        <w:t>g</w:t>
      </w:r>
      <w:r w:rsidRPr="00CE4194">
        <w:rPr>
          <w:rFonts w:ascii="Times New Roman" w:eastAsia="Times New Roman" w:hAnsi="Times New Roman" w:cs="Times New Roman"/>
          <w:color w:val="000000"/>
          <w:sz w:val="26"/>
          <w:szCs w:val="26"/>
          <w:lang w:val="vi-VN"/>
        </w:rPr>
        <w:t> tư số </w:t>
      </w:r>
      <w:r>
        <w:rPr>
          <w:rFonts w:ascii="Times New Roman" w:eastAsia="Times New Roman" w:hAnsi="Times New Roman" w:cs="Times New Roman"/>
          <w:color w:val="000000"/>
          <w:sz w:val="26"/>
          <w:szCs w:val="26"/>
          <w:lang w:val="vi-VN"/>
        </w:rPr>
        <w:t xml:space="preserve">14/2013/TT-BYT </w:t>
      </w:r>
      <w:r w:rsidRPr="00CE4194">
        <w:rPr>
          <w:rFonts w:ascii="Times New Roman" w:eastAsia="Times New Roman" w:hAnsi="Times New Roman" w:cs="Times New Roman"/>
          <w:color w:val="000000"/>
          <w:sz w:val="26"/>
          <w:szCs w:val="26"/>
          <w:lang w:val="vi-VN"/>
        </w:rPr>
        <w:t>(những điều, khoản còn hiệu lực); tại </w:t>
      </w:r>
      <w:bookmarkStart w:id="4" w:name="dc_5"/>
      <w:r w:rsidRPr="00CE4194">
        <w:rPr>
          <w:rFonts w:ascii="Times New Roman" w:eastAsia="Times New Roman" w:hAnsi="Times New Roman" w:cs="Times New Roman"/>
          <w:color w:val="000000"/>
          <w:sz w:val="26"/>
          <w:szCs w:val="26"/>
          <w:lang w:val="vi-VN"/>
        </w:rPr>
        <w:t>khoản 8 Điều 43, khoản 4 và 5 Điều 44 Nghị định của Nghị định 109/2016/NĐ-CP</w:t>
      </w:r>
      <w:bookmarkEnd w:id="4"/>
      <w:r w:rsidRPr="00CE4194">
        <w:rPr>
          <w:rFonts w:ascii="Times New Roman" w:eastAsia="Times New Roman" w:hAnsi="Times New Roman" w:cs="Times New Roman"/>
          <w:color w:val="000000"/>
          <w:sz w:val="26"/>
          <w:szCs w:val="26"/>
          <w:lang w:val="vi-VN"/>
        </w:rPr>
        <w:t> sau khi đã được cấp giấy phép hoạt động và </w:t>
      </w:r>
      <w:bookmarkStart w:id="5" w:name="dc_6"/>
      <w:r w:rsidRPr="00CE4194">
        <w:rPr>
          <w:rFonts w:ascii="Times New Roman" w:eastAsia="Times New Roman" w:hAnsi="Times New Roman" w:cs="Times New Roman"/>
          <w:color w:val="000000"/>
          <w:sz w:val="26"/>
          <w:szCs w:val="26"/>
          <w:lang w:val="vi-VN"/>
        </w:rPr>
        <w:t>Điều 11 của Nghị định số 155/2018/NĐ-CP</w:t>
      </w:r>
      <w:bookmarkEnd w:id="5"/>
      <w:r w:rsidRPr="00CE4194">
        <w:rPr>
          <w:rFonts w:ascii="Times New Roman" w:eastAsia="Times New Roman" w:hAnsi="Times New Roman" w:cs="Times New Roman"/>
          <w:color w:val="000000"/>
          <w:sz w:val="26"/>
          <w:szCs w:val="26"/>
        </w:rPr>
        <w:t>.</w:t>
      </w:r>
    </w:p>
    <w:p w:rsidR="00CE4194" w:rsidRPr="00CE4194" w:rsidRDefault="00CE4194" w:rsidP="00CE4194">
      <w:pPr>
        <w:shd w:val="clear" w:color="auto" w:fill="FFFFFF"/>
        <w:spacing w:before="120" w:after="12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E4194" w:rsidRPr="00CE4194" w:rsidTr="00CE4194">
        <w:trPr>
          <w:tblCellSpacing w:w="0" w:type="dxa"/>
        </w:trPr>
        <w:tc>
          <w:tcPr>
            <w:tcW w:w="4428" w:type="dxa"/>
            <w:shd w:val="clear" w:color="auto" w:fill="FFFFFF"/>
            <w:tcMar>
              <w:top w:w="0" w:type="dxa"/>
              <w:left w:w="108" w:type="dxa"/>
              <w:bottom w:w="0" w:type="dxa"/>
              <w:right w:w="108" w:type="dxa"/>
            </w:tcMar>
            <w:hideMark/>
          </w:tcPr>
          <w:p w:rsidR="00CE4194" w:rsidRPr="00CE4194" w:rsidRDefault="00CE4194" w:rsidP="00CE4194">
            <w:pPr>
              <w:spacing w:before="120" w:after="120" w:line="234" w:lineRule="atLeast"/>
              <w:rPr>
                <w:rFonts w:ascii="Times New Roman" w:eastAsia="Times New Roman" w:hAnsi="Times New Roman" w:cs="Times New Roman"/>
                <w:color w:val="000000"/>
                <w:sz w:val="26"/>
                <w:szCs w:val="26"/>
              </w:rPr>
            </w:pPr>
            <w:r w:rsidRPr="00CE4194">
              <w:rPr>
                <w:rFonts w:ascii="Times New Roman" w:eastAsia="Times New Roman" w:hAnsi="Times New Roman" w:cs="Times New Roman"/>
                <w:color w:val="000000"/>
                <w:sz w:val="26"/>
                <w:szCs w:val="26"/>
                <w:lang w:val="vi-VN"/>
              </w:rPr>
              <w:br/>
            </w:r>
            <w:r w:rsidRPr="00CE4194">
              <w:rPr>
                <w:rFonts w:ascii="Times New Roman" w:eastAsia="Times New Roman" w:hAnsi="Times New Roman" w:cs="Times New Roman"/>
                <w:b/>
                <w:bCs/>
                <w:i/>
                <w:iCs/>
                <w:color w:val="000000"/>
                <w:sz w:val="26"/>
                <w:szCs w:val="26"/>
                <w:lang w:val="vi-VN"/>
              </w:rPr>
              <w:t>Nơi nhận:</w:t>
            </w:r>
            <w:r w:rsidRPr="00CE4194">
              <w:rPr>
                <w:rFonts w:ascii="Times New Roman" w:eastAsia="Times New Roman" w:hAnsi="Times New Roman" w:cs="Times New Roman"/>
                <w:b/>
                <w:bCs/>
                <w:i/>
                <w:iCs/>
                <w:color w:val="000000"/>
                <w:sz w:val="26"/>
                <w:szCs w:val="26"/>
                <w:lang w:val="vi-VN"/>
              </w:rPr>
              <w:br/>
            </w:r>
            <w:r w:rsidRPr="00CE4194">
              <w:rPr>
                <w:rFonts w:ascii="Times New Roman" w:eastAsia="Times New Roman" w:hAnsi="Times New Roman" w:cs="Times New Roman"/>
                <w:color w:val="000000"/>
                <w:sz w:val="26"/>
                <w:szCs w:val="26"/>
                <w:lang w:val="vi-VN"/>
              </w:rPr>
              <w:t>- </w:t>
            </w:r>
            <w:r w:rsidRPr="00CE4194">
              <w:rPr>
                <w:rFonts w:ascii="Times New Roman" w:eastAsia="Times New Roman" w:hAnsi="Times New Roman" w:cs="Times New Roman"/>
                <w:color w:val="000000"/>
                <w:sz w:val="26"/>
                <w:szCs w:val="26"/>
              </w:rPr>
              <w:t>Như trên;</w:t>
            </w:r>
            <w:r w:rsidRPr="00CE4194">
              <w:rPr>
                <w:rFonts w:ascii="Times New Roman" w:eastAsia="Times New Roman" w:hAnsi="Times New Roman" w:cs="Times New Roman"/>
                <w:color w:val="000000"/>
                <w:sz w:val="26"/>
                <w:szCs w:val="26"/>
              </w:rPr>
              <w:br/>
              <w:t>- </w:t>
            </w:r>
            <w:r w:rsidRPr="00CE4194">
              <w:rPr>
                <w:rFonts w:ascii="Times New Roman" w:eastAsia="Times New Roman" w:hAnsi="Times New Roman" w:cs="Times New Roman"/>
                <w:color w:val="000000"/>
                <w:sz w:val="26"/>
                <w:szCs w:val="26"/>
                <w:lang w:val="vi-VN"/>
              </w:rPr>
              <w:t>Thứ trưởng TT. Nguyễn Viết Tiến (để b/cáo);</w:t>
            </w:r>
            <w:r w:rsidRPr="00CE4194">
              <w:rPr>
                <w:rFonts w:ascii="Times New Roman" w:eastAsia="Times New Roman" w:hAnsi="Times New Roman" w:cs="Times New Roman"/>
                <w:color w:val="000000"/>
                <w:sz w:val="26"/>
                <w:szCs w:val="26"/>
                <w:lang w:val="vi-VN"/>
              </w:rPr>
              <w:br/>
              <w:t>- Lưu: VT, P</w:t>
            </w:r>
            <w:r w:rsidRPr="00CE4194">
              <w:rPr>
                <w:rFonts w:ascii="Times New Roman" w:eastAsia="Times New Roman" w:hAnsi="Times New Roman" w:cs="Times New Roman"/>
                <w:color w:val="000000"/>
                <w:sz w:val="26"/>
                <w:szCs w:val="26"/>
              </w:rPr>
              <w:t>H</w:t>
            </w:r>
            <w:r w:rsidRPr="00CE4194">
              <w:rPr>
                <w:rFonts w:ascii="Times New Roman" w:eastAsia="Times New Roman" w:hAnsi="Times New Roman" w:cs="Times New Roman"/>
                <w:color w:val="000000"/>
                <w:sz w:val="26"/>
                <w:szCs w:val="26"/>
                <w:lang w:val="vi-VN"/>
              </w:rPr>
              <w:t>CN&amp;G</w:t>
            </w:r>
            <w:r w:rsidRPr="00CE4194">
              <w:rPr>
                <w:rFonts w:ascii="Times New Roman" w:eastAsia="Times New Roman" w:hAnsi="Times New Roman" w:cs="Times New Roman"/>
                <w:color w:val="000000"/>
                <w:sz w:val="26"/>
                <w:szCs w:val="26"/>
              </w:rPr>
              <w:t>Đ</w:t>
            </w:r>
          </w:p>
        </w:tc>
        <w:tc>
          <w:tcPr>
            <w:tcW w:w="4428" w:type="dxa"/>
            <w:shd w:val="clear" w:color="auto" w:fill="FFFFFF"/>
            <w:tcMar>
              <w:top w:w="0" w:type="dxa"/>
              <w:left w:w="108" w:type="dxa"/>
              <w:bottom w:w="0" w:type="dxa"/>
              <w:right w:w="108" w:type="dxa"/>
            </w:tcMar>
            <w:hideMark/>
          </w:tcPr>
          <w:p w:rsidR="00CE4194" w:rsidRPr="00CE4194" w:rsidRDefault="00CE4194" w:rsidP="00CE4194">
            <w:pPr>
              <w:spacing w:before="120" w:after="120" w:line="234" w:lineRule="atLeast"/>
              <w:jc w:val="center"/>
              <w:rPr>
                <w:rFonts w:ascii="Times New Roman" w:eastAsia="Times New Roman" w:hAnsi="Times New Roman" w:cs="Times New Roman"/>
                <w:color w:val="000000"/>
                <w:sz w:val="26"/>
                <w:szCs w:val="26"/>
              </w:rPr>
            </w:pPr>
            <w:r w:rsidRPr="00CE4194">
              <w:rPr>
                <w:rFonts w:ascii="Times New Roman" w:eastAsia="Times New Roman" w:hAnsi="Times New Roman" w:cs="Times New Roman"/>
                <w:b/>
                <w:bCs/>
                <w:color w:val="000000"/>
                <w:sz w:val="26"/>
                <w:szCs w:val="26"/>
              </w:rPr>
              <w:t>CỤC TRƯỞNG</w:t>
            </w:r>
            <w:r w:rsidRPr="00CE4194">
              <w:rPr>
                <w:rFonts w:ascii="Times New Roman" w:eastAsia="Times New Roman" w:hAnsi="Times New Roman" w:cs="Times New Roman"/>
                <w:b/>
                <w:bCs/>
                <w:color w:val="000000"/>
                <w:sz w:val="26"/>
                <w:szCs w:val="26"/>
              </w:rPr>
              <w:br/>
            </w:r>
            <w:r w:rsidRPr="00CE4194">
              <w:rPr>
                <w:rFonts w:ascii="Times New Roman" w:eastAsia="Times New Roman" w:hAnsi="Times New Roman" w:cs="Times New Roman"/>
                <w:b/>
                <w:bCs/>
                <w:color w:val="000000"/>
                <w:sz w:val="26"/>
                <w:szCs w:val="26"/>
              </w:rPr>
              <w:br/>
            </w:r>
            <w:r w:rsidRPr="00CE4194">
              <w:rPr>
                <w:rFonts w:ascii="Times New Roman" w:eastAsia="Times New Roman" w:hAnsi="Times New Roman" w:cs="Times New Roman"/>
                <w:b/>
                <w:bCs/>
                <w:color w:val="000000"/>
                <w:sz w:val="26"/>
                <w:szCs w:val="26"/>
              </w:rPr>
              <w:br/>
            </w:r>
            <w:r w:rsidRPr="00CE4194">
              <w:rPr>
                <w:rFonts w:ascii="Times New Roman" w:eastAsia="Times New Roman" w:hAnsi="Times New Roman" w:cs="Times New Roman"/>
                <w:b/>
                <w:bCs/>
                <w:color w:val="000000"/>
                <w:sz w:val="26"/>
                <w:szCs w:val="26"/>
              </w:rPr>
              <w:br/>
            </w:r>
            <w:r w:rsidRPr="00CE4194">
              <w:rPr>
                <w:rFonts w:ascii="Times New Roman" w:eastAsia="Times New Roman" w:hAnsi="Times New Roman" w:cs="Times New Roman"/>
                <w:b/>
                <w:bCs/>
                <w:color w:val="000000"/>
                <w:sz w:val="26"/>
                <w:szCs w:val="26"/>
              </w:rPr>
              <w:br/>
              <w:t>Lương Ngọc Khuê</w:t>
            </w:r>
          </w:p>
        </w:tc>
      </w:tr>
    </w:tbl>
    <w:p w:rsidR="00C10593" w:rsidRPr="00CE4194" w:rsidRDefault="00CB7B3F">
      <w:pPr>
        <w:rPr>
          <w:rFonts w:ascii="Times New Roman" w:hAnsi="Times New Roman" w:cs="Times New Roman"/>
          <w:sz w:val="26"/>
          <w:szCs w:val="26"/>
        </w:rPr>
      </w:pPr>
      <w:bookmarkStart w:id="6" w:name="_GoBack"/>
      <w:bookmarkEnd w:id="6"/>
    </w:p>
    <w:sectPr w:rsidR="00C10593" w:rsidRPr="00CE419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B3F" w:rsidRDefault="00CB7B3F" w:rsidP="00E709AA">
      <w:pPr>
        <w:spacing w:after="0" w:line="240" w:lineRule="auto"/>
      </w:pPr>
      <w:r>
        <w:separator/>
      </w:r>
    </w:p>
  </w:endnote>
  <w:endnote w:type="continuationSeparator" w:id="0">
    <w:p w:rsidR="00CB7B3F" w:rsidRDefault="00CB7B3F" w:rsidP="00E7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9AA" w:rsidRDefault="00E709AA">
    <w:pPr>
      <w:pStyle w:val="Footer"/>
      <w:tabs>
        <w:tab w:val="clear" w:pos="4680"/>
        <w:tab w:val="clear" w:pos="9360"/>
      </w:tabs>
      <w:jc w:val="center"/>
      <w:rPr>
        <w:caps/>
        <w:color w:val="5B9BD5" w:themeColor="accent1"/>
      </w:rPr>
    </w:pPr>
  </w:p>
  <w:p w:rsidR="00E709AA" w:rsidRDefault="00E709AA">
    <w:pPr>
      <w:pStyle w:val="Footer"/>
      <w:tabs>
        <w:tab w:val="clear" w:pos="4680"/>
        <w:tab w:val="clear" w:pos="9360"/>
      </w:tabs>
      <w:jc w:val="center"/>
      <w:rPr>
        <w:caps/>
        <w:color w:val="5B9BD5" w:themeColor="accent1"/>
      </w:rPr>
    </w:pPr>
  </w:p>
  <w:p w:rsidR="00E709AA" w:rsidRDefault="00E709AA">
    <w:pPr>
      <w:pStyle w:val="Footer"/>
      <w:tabs>
        <w:tab w:val="clear" w:pos="4680"/>
        <w:tab w:val="clear" w:pos="9360"/>
      </w:tabs>
      <w:jc w:val="center"/>
      <w:rPr>
        <w:caps/>
        <w:color w:val="5B9BD5" w:themeColor="accent1"/>
      </w:rPr>
    </w:pPr>
  </w:p>
  <w:p w:rsidR="00E709AA" w:rsidRDefault="00E709AA">
    <w:pPr>
      <w:pStyle w:val="Footer"/>
      <w:tabs>
        <w:tab w:val="clear" w:pos="4680"/>
        <w:tab w:val="clear" w:pos="9360"/>
      </w:tabs>
      <w:jc w:val="center"/>
      <w:rPr>
        <w:caps/>
        <w:color w:val="5B9BD5" w:themeColor="accent1"/>
      </w:rPr>
    </w:pPr>
  </w:p>
  <w:p w:rsidR="00E709AA" w:rsidRDefault="00E709A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80EE5">
      <w:rPr>
        <w:caps/>
        <w:noProof/>
        <w:color w:val="5B9BD5" w:themeColor="accent1"/>
      </w:rPr>
      <w:t>2</w:t>
    </w:r>
    <w:r>
      <w:rPr>
        <w:caps/>
        <w:noProof/>
        <w:color w:val="5B9BD5" w:themeColor="accent1"/>
      </w:rPr>
      <w:fldChar w:fldCharType="end"/>
    </w:r>
  </w:p>
  <w:p w:rsidR="00E709AA" w:rsidRPr="00F44945" w:rsidRDefault="00E709AA" w:rsidP="00E709AA">
    <w:pPr>
      <w:pStyle w:val="Header"/>
      <w:jc w:val="center"/>
      <w:rPr>
        <w:b/>
        <w:color w:val="0070C0"/>
      </w:rPr>
    </w:pPr>
    <w:r w:rsidRPr="00F44945">
      <w:rPr>
        <w:b/>
        <w:color w:val="0070C0"/>
      </w:rPr>
      <w:t>Công ty Luật TNHH Sao Việt</w:t>
    </w:r>
  </w:p>
  <w:p w:rsidR="00E709AA" w:rsidRPr="00F44945" w:rsidRDefault="00E709AA" w:rsidP="00E709AA">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E709AA" w:rsidRPr="00F44945" w:rsidRDefault="00E709AA" w:rsidP="00E709AA">
    <w:pPr>
      <w:pStyle w:val="Header"/>
      <w:jc w:val="center"/>
      <w:rPr>
        <w:color w:val="FF0000"/>
      </w:rPr>
    </w:pPr>
    <w:r w:rsidRPr="00F44945">
      <w:rPr>
        <w:color w:val="FF0000"/>
      </w:rPr>
      <w:t>W</w:t>
    </w:r>
    <w:r>
      <w:rPr>
        <w:color w:val="FF0000"/>
      </w:rPr>
      <w:t>eb</w:t>
    </w:r>
    <w:r w:rsidRPr="00F44945">
      <w:rPr>
        <w:color w:val="FF0000"/>
      </w:rPr>
      <w:t>: saovietlaw.com/ Tổng đài 1900 6243</w:t>
    </w:r>
  </w:p>
  <w:p w:rsidR="00E709AA" w:rsidRDefault="00E709AA" w:rsidP="00E709AA">
    <w:pPr>
      <w:pStyle w:val="Footer"/>
      <w:jc w:val="center"/>
    </w:pPr>
  </w:p>
  <w:p w:rsidR="00E709AA" w:rsidRDefault="00E709AA" w:rsidP="00E709AA"/>
  <w:p w:rsidR="00E709AA" w:rsidRDefault="00E70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B3F" w:rsidRDefault="00CB7B3F" w:rsidP="00E709AA">
      <w:pPr>
        <w:spacing w:after="0" w:line="240" w:lineRule="auto"/>
      </w:pPr>
      <w:r>
        <w:separator/>
      </w:r>
    </w:p>
  </w:footnote>
  <w:footnote w:type="continuationSeparator" w:id="0">
    <w:p w:rsidR="00CB7B3F" w:rsidRDefault="00CB7B3F" w:rsidP="00E70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94"/>
    <w:rsid w:val="00180EE5"/>
    <w:rsid w:val="00315523"/>
    <w:rsid w:val="006B0FBE"/>
    <w:rsid w:val="00CB7B3F"/>
    <w:rsid w:val="00CE4194"/>
    <w:rsid w:val="00DA5C9A"/>
    <w:rsid w:val="00E709A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0D96C-616D-41C6-8408-BF44D1B7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1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4194"/>
    <w:rPr>
      <w:color w:val="0000FF"/>
      <w:u w:val="single"/>
    </w:rPr>
  </w:style>
  <w:style w:type="paragraph" w:styleId="Header">
    <w:name w:val="header"/>
    <w:basedOn w:val="Normal"/>
    <w:link w:val="HeaderChar"/>
    <w:uiPriority w:val="99"/>
    <w:unhideWhenUsed/>
    <w:rsid w:val="00E7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AA"/>
  </w:style>
  <w:style w:type="paragraph" w:styleId="Footer">
    <w:name w:val="footer"/>
    <w:basedOn w:val="Normal"/>
    <w:link w:val="FooterChar"/>
    <w:uiPriority w:val="99"/>
    <w:unhideWhenUsed/>
    <w:rsid w:val="00E70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9AA"/>
  </w:style>
  <w:style w:type="paragraph" w:styleId="BalloonText">
    <w:name w:val="Balloon Text"/>
    <w:basedOn w:val="Normal"/>
    <w:link w:val="BalloonTextChar"/>
    <w:uiPriority w:val="99"/>
    <w:semiHidden/>
    <w:unhideWhenUsed/>
    <w:rsid w:val="00180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46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2</cp:revision>
  <cp:lastPrinted>2019-04-16T08:30:00Z</cp:lastPrinted>
  <dcterms:created xsi:type="dcterms:W3CDTF">2019-04-16T09:05:00Z</dcterms:created>
  <dcterms:modified xsi:type="dcterms:W3CDTF">2019-04-16T09:05:00Z</dcterms:modified>
</cp:coreProperties>
</file>